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New Zealand: Your Complete Career Guide to a Small Workforce With Outsized Opportunity</w:t>
      </w:r>
    </w:p>
    <w:p>
      <w:pPr>
        <w:jc w:val="center"/>
      </w:pPr>
      <w:r>
        <w:rPr>
          <w:i/>
          <w:color w:val="666666"/>
          <w:sz w:val="26"/>
        </w:rPr>
        <w:t>MCNZ Vocational Registration, FRCPA, the VOC Pathways, ASMS Salaries &amp; Life as a Senior Medical Officer</w:t>
      </w:r>
    </w:p>
    <w:p>
      <w:pPr>
        <w:jc w:val="center"/>
      </w:pPr>
      <w:r>
        <w:rPr>
          <w:i/>
          <w:color w:val="969696"/>
          <w:sz w:val="20"/>
        </w:rPr>
        <w:t>Last Updated: July 31, 2026</w:t>
      </w:r>
    </w:p>
    <w:p/>
    <w:p>
      <w:pPr>
        <w:pStyle w:val="Heading1"/>
      </w:pPr>
      <w:r>
        <w:t>A Country of 327 Pathologists — And It Is Recruiting Abroad</w:t>
      </w:r>
    </w:p>
    <w:p>
      <w:pPr>
        <w:spacing w:after="240"/>
      </w:pPr>
      <w:r>
        <w:t>New Zealand's entire pathology workforce numbered 327 at the 2018 census. That is not a typo, and it is the single most important number for anyone considering the country. In a workforce that small, every retirement matters, every vacancy is felt across a region, and a single well-qualified arrival can change how a service functions.</w:t>
      </w:r>
    </w:p>
    <w:p>
      <w:pPr>
        <w:spacing w:after="240"/>
      </w:pPr>
      <w:r>
        <w:t>Health New Zealand — Te Whatu Ora — is not subtle about the consequence. It runs a dedicated recruitment stream for pathologists trained overseas, advertising base salaries of NZD $170,000 to $250,000 or more under the ASMS collective agreement, with an explicit invitation to internationally trained candidates. For pathologists who already hold FRCPA or a comparable qualification, few countries offer a shorter distance between application and independent practice.</w:t>
      </w:r>
    </w:p>
    <w:p>
      <w:pPr>
        <w:pStyle w:val="Heading2"/>
      </w:pPr>
      <w:r>
        <w:t>Why Choose New Zealand for Your Pathology Career?</w:t>
      </w:r>
    </w:p>
    <w:p>
      <w:pPr>
        <w:pStyle w:val="ListBullet"/>
        <w:spacing w:after="120"/>
      </w:pPr>
      <w:r>
        <w:rPr>
          <w:b/>
        </w:rPr>
        <w:t xml:space="preserve">Transparent National Pay: </w:t>
      </w:r>
      <w:r>
        <w:t>Senior Medical Officer terms are governed by the ASMS Multi-Employer Collective Agreement. Pay is broadly the same whether you work in Auckland or a small regional hospital — no negotiation asymmetry, no regional guesswork.</w:t>
      </w:r>
    </w:p>
    <w:p>
      <w:pPr>
        <w:pStyle w:val="ListBullet"/>
        <w:spacing w:after="120"/>
      </w:pPr>
      <w:r>
        <w:rPr>
          <w:b/>
        </w:rPr>
        <w:t xml:space="preserve">Trans-Tasman Qualification Recognition: </w:t>
      </w:r>
      <w:r>
        <w:t>FRCPA is the qualification for pathology in both Australia and New Zealand. Train once, and your Fellowship works across both countries — RCPA provides vocational registration with MCNZ.</w:t>
      </w:r>
    </w:p>
    <w:p>
      <w:pPr>
        <w:pStyle w:val="ListBullet"/>
        <w:spacing w:after="120"/>
      </w:pPr>
      <w:r>
        <w:rPr>
          <w:b/>
        </w:rPr>
        <w:t xml:space="preserve">A Genuine Fast-Track for Some Applicants: </w:t>
      </w:r>
      <w:r>
        <w:t>The VOC4 pathway exists specifically for doctors holding approved postgraduate qualifications from the UK, Ireland or Australia intending to work as specialists in an approved area of medicine.</w:t>
      </w:r>
    </w:p>
    <w:p>
      <w:pPr>
        <w:pStyle w:val="ListBullet"/>
        <w:spacing w:after="120"/>
      </w:pPr>
      <w:r>
        <w:rPr>
          <w:b/>
        </w:rPr>
        <w:t xml:space="preserve">Sabbatical Built Into the Agreement: </w:t>
      </w:r>
      <w:r>
        <w:t>Senior Medical Officers receive three months of fully paid sabbatical leave for every six years of service — a benefit almost unheard of in comparable systems.</w:t>
      </w:r>
    </w:p>
    <w:p>
      <w:pPr>
        <w:pStyle w:val="ListBullet"/>
        <w:spacing w:after="120"/>
      </w:pPr>
      <w:r>
        <w:rPr>
          <w:b/>
        </w:rPr>
        <w:t xml:space="preserve">Fast Processing: </w:t>
      </w:r>
      <w:r>
        <w:t>Vocational registration applications take around 10 working days from receipt of a complete application. Adding a General registration application first extends this by roughly 20 working days.</w:t>
      </w:r>
    </w:p>
    <w:p>
      <w:pPr>
        <w:pStyle w:val="ListBullet"/>
        <w:spacing w:after="120"/>
      </w:pPr>
      <w:r>
        <w:rPr>
          <w:b/>
        </w:rPr>
        <w:t xml:space="preserve">Acute Need in Forensic Pathology: </w:t>
      </w:r>
      <w:r>
        <w:t>New Zealand's forensic pathology service has been the subject of sustained public concern about capacity — an area where an incoming specialist has immediate national impact.</w:t>
      </w:r>
    </w:p>
    <w:p/>
    <w:p>
      <w:pPr>
        <w:pStyle w:val="Heading2"/>
      </w:pPr>
      <w:r>
        <w:t>Understanding Vocational Registration — The Core Concept</w:t>
      </w:r>
    </w:p>
    <w:p>
      <w:pPr>
        <w:spacing w:after="160"/>
      </w:pPr>
      <w:r>
        <w:t>New Zealand organises specialist practice around 'scopes of practice'. There are 36 recognised vocational scopes, each defined by an accredited postgraduate training programme and qualification, and pathology is one of them. Vocational registration is permanent specialist registration allowing you to work independently as a Senior Medical Officer — the New Zealand job title equivalent to consultant or attending elsewhere.</w:t>
      </w:r>
    </w:p>
    <w:p>
      <w:pPr>
        <w:spacing w:after="120"/>
      </w:pPr>
      <w:r>
        <w:t>To apply for vocational registration in pathology, you need one of the following:</w:t>
      </w:r>
    </w:p>
    <w:p>
      <w:pPr>
        <w:pStyle w:val="ListBullet"/>
        <w:ind w:left="720"/>
      </w:pPr>
      <w:r>
        <w:t>FRCPA — to work solely in laboratory pathology</w:t>
      </w:r>
    </w:p>
    <w:p>
      <w:pPr>
        <w:pStyle w:val="ListBullet"/>
        <w:ind w:left="720"/>
      </w:pPr>
      <w:r>
        <w:t>FRCPA and FRACP — to work in laboratory pathology together with its associated clinical discipline</w:t>
      </w:r>
    </w:p>
    <w:p>
      <w:pPr>
        <w:pStyle w:val="ListBullet"/>
        <w:ind w:left="720"/>
      </w:pPr>
      <w:r>
        <w:t>An international postgraduate qualification in pathology, where your combined qualifications, training and experience are assessed against the FRCPA standard (and FRACP where applicable)</w:t>
      </w:r>
    </w:p>
    <w:p/>
    <w:p>
      <w:pPr>
        <w:spacing w:after="240"/>
      </w:pPr>
      <w:r>
        <w:t>Recognised specialists in New Zealand complete six years of training. Note that MCNZ does not publish a list of approved overseas postgraduate qualifications — overseas applications are assessed individually on their merits, with the relevant specialist college advising and Council making the final decision.</w:t>
      </w:r>
    </w:p>
    <w:p>
      <w:pPr>
        <w:pStyle w:val="Heading2"/>
      </w:pPr>
      <w:r>
        <w:t>The Four Registration Pathways</w:t>
      </w:r>
    </w:p>
    <w:p>
      <w:pPr>
        <w:spacing w:after="160"/>
      </w:pPr>
      <w:r>
        <w:rPr>
          <w:b/>
        </w:rPr>
        <w:t xml:space="preserve">VOC1 — Vocational (specialist) registration — </w:t>
      </w:r>
      <w:r>
        <w:t>For doctors holding an approved New Zealand or Australasian postgraduate qualification who already hold General scope registration. Applied for online through myMCNZ.</w:t>
      </w:r>
    </w:p>
    <w:p>
      <w:pPr>
        <w:spacing w:after="160"/>
      </w:pPr>
      <w:r>
        <w:rPr>
          <w:b/>
        </w:rPr>
        <w:t xml:space="preserve">VOC2 — </w:t>
      </w:r>
      <w:r>
        <w:t>For doctors holding the approved New Zealand or Australasian qualification who do not already hold General registration — a single application rather than two sequential ones.</w:t>
      </w:r>
    </w:p>
    <w:p>
      <w:pPr>
        <w:spacing w:after="160"/>
      </w:pPr>
      <w:r>
        <w:rPr>
          <w:b/>
        </w:rPr>
        <w:t xml:space="preserve">VOC3 — Provisional Vocational registration — </w:t>
      </w:r>
      <w:r>
        <w:t>For those who trained and qualified as specialists outside New Zealand and Australia. You must show qualifications, training and experience as satisfactory as a New Zealand vocationally trained practitioner, and be able to reach full vocational scope within 18 months. Progression requires 12–18 months of satisfactory supervised practice.</w:t>
      </w:r>
    </w:p>
    <w:p>
      <w:pPr>
        <w:spacing w:after="160"/>
      </w:pPr>
      <w:r>
        <w:rPr>
          <w:b/>
        </w:rPr>
        <w:t xml:space="preserve">VOC4 — Fast-track — </w:t>
      </w:r>
      <w:r>
        <w:t>For holders of approved postgraduate medical qualifications from the UK, Ireland or Australia intending to work as a specialist in an approved area of medicine. If you qualify, this is the route to take.</w:t>
      </w:r>
    </w:p>
    <w:p/>
    <w:p>
      <w:pPr>
        <w:spacing w:after="240"/>
      </w:pPr>
      <w:r>
        <w:t>MCNZ provides a registration self-assessment tool that identifies which pathway fits your circumstances. Use it before assembling documents — applying down the wrong route costs months.</w:t>
      </w:r>
    </w:p>
    <w:p>
      <w:pPr>
        <w:pStyle w:val="Heading3"/>
      </w:pPr>
      <w:r>
        <w:t>The VOC3 Assessment in Practice</w:t>
      </w:r>
    </w:p>
    <w:p>
      <w:pPr>
        <w:spacing w:after="160"/>
      </w:pPr>
      <w:r>
        <w:t>Most internationally trained pathologists from outside Australasia enter via VOC3. Your training, qualifications and experience are compared against those of a New Zealand-trained vocationally registered doctor holding the Australasian Fellowship in the same area. The specialist college conducts this comparability assessment and advises Council.</w:t>
      </w:r>
    </w:p>
    <w:p>
      <w:pPr>
        <w:spacing w:after="160"/>
      </w:pPr>
      <w:r>
        <w:t>Assessment may include a Vocational Practice Assessment — a one-day workplace visit by two assessors who are specialists in your field. They interview you and your colleagues, review your records and observe your practice. It is a considered, practice-based judgement rather than an examination, which most experienced pathologists find a fairer test of competence than a written paper.</w:t>
      </w:r>
    </w:p>
    <w:p>
      <w:pPr>
        <w:spacing w:after="240"/>
      </w:pPr>
      <w:r>
        <w:t>Specialists granted vocational registration must enrol in and meet the requirements of an MCNZ-accredited recertification and CPD programme. If your training is judged not equivalent, Council declines the application and advises you accordingly — at which point the alternative is obtaining another form of registration and entering a New Zealand or Australasian training programme.</w:t>
      </w:r>
    </w:p>
    <w:p>
      <w:pPr>
        <w:pStyle w:val="Heading2"/>
      </w:pPr>
      <w:r>
        <w:t>Salary, Conditions and the ASMS Agreement</w:t>
      </w:r>
    </w:p>
    <w:tbl>
      <w:tblPr>
        <w:tblStyle w:val="LightGrid-Accent1"/>
        <w:tblW w:type="auto" w:w="0"/>
        <w:tblLook w:firstColumn="1" w:firstRow="1" w:lastColumn="0" w:lastRow="0" w:noHBand="0" w:noVBand="1" w:val="04A0"/>
      </w:tblPr>
      <w:tblGrid>
        <w:gridCol w:w="4680"/>
        <w:gridCol w:w="4680"/>
      </w:tblGrid>
      <w:tr>
        <w:tc>
          <w:tcPr>
            <w:tcW w:type="dxa" w:w="4680"/>
          </w:tcPr>
          <w:p>
            <w:r>
              <w:t>Measure</w:t>
            </w:r>
          </w:p>
        </w:tc>
        <w:tc>
          <w:tcPr>
            <w:tcW w:type="dxa" w:w="4680"/>
          </w:tcPr>
          <w:p>
            <w:r>
              <w:t>Detail (NZD)</w:t>
            </w:r>
          </w:p>
        </w:tc>
      </w:tr>
      <w:tr>
        <w:tc>
          <w:tcPr>
            <w:tcW w:type="dxa" w:w="4680"/>
          </w:tcPr>
          <w:p>
            <w:r>
              <w:t>Advertised pathologist base salary (Health NZ)</w:t>
            </w:r>
          </w:p>
        </w:tc>
        <w:tc>
          <w:tcPr>
            <w:tcW w:type="dxa" w:w="4680"/>
          </w:tcPr>
          <w:p>
            <w:r>
              <w:t>$170,000 – $250,000+</w:t>
            </w:r>
          </w:p>
        </w:tc>
      </w:tr>
      <w:tr>
        <w:tc>
          <w:tcPr>
            <w:tcW w:type="dxa" w:w="4680"/>
          </w:tcPr>
          <w:p>
            <w:r>
              <w:t>Salary framework</w:t>
            </w:r>
          </w:p>
        </w:tc>
        <w:tc>
          <w:tcPr>
            <w:tcW w:type="dxa" w:w="4680"/>
          </w:tcPr>
          <w:p>
            <w:r>
              <w:t>ASMS Multi-Employer Collective Agreement, 15-step experience scale</w:t>
            </w:r>
          </w:p>
        </w:tc>
      </w:tr>
      <w:tr>
        <w:tc>
          <w:tcPr>
            <w:tcW w:type="dxa" w:w="4680"/>
          </w:tcPr>
          <w:p>
            <w:r>
              <w:t>Additional compensation</w:t>
            </w:r>
          </w:p>
        </w:tc>
        <w:tc>
          <w:tcPr>
            <w:tcW w:type="dxa" w:w="4680"/>
          </w:tcPr>
          <w:p>
            <w:r>
              <w:t>On-call, availability and penal rates where applicable</w:t>
            </w:r>
          </w:p>
        </w:tc>
      </w:tr>
      <w:tr>
        <w:tc>
          <w:tcPr>
            <w:tcW w:type="dxa" w:w="4680"/>
          </w:tcPr>
          <w:p>
            <w:r>
              <w:t>Sabbatical leave</w:t>
            </w:r>
          </w:p>
        </w:tc>
        <w:tc>
          <w:tcPr>
            <w:tcW w:type="dxa" w:w="4680"/>
          </w:tcPr>
          <w:p>
            <w:r>
              <w:t>3 months fully paid for every 6 years of service</w:t>
            </w:r>
          </w:p>
        </w:tc>
      </w:tr>
      <w:tr>
        <w:tc>
          <w:tcPr>
            <w:tcW w:type="dxa" w:w="4680"/>
          </w:tcPr>
          <w:p>
            <w:r>
              <w:t>Geographic variation</w:t>
            </w:r>
          </w:p>
        </w:tc>
        <w:tc>
          <w:tcPr>
            <w:tcW w:type="dxa" w:w="4680"/>
          </w:tcPr>
          <w:p>
            <w:r>
              <w:t>Minimal — MECA sets national rates</w:t>
            </w:r>
          </w:p>
        </w:tc>
      </w:tr>
      <w:tr>
        <w:tc>
          <w:tcPr>
            <w:tcW w:type="dxa" w:w="4680"/>
          </w:tcPr>
          <w:p>
            <w:r>
              <w:t>Senior medical and dental workforce (Te Whatu Ora)</w:t>
            </w:r>
          </w:p>
        </w:tc>
        <w:tc>
          <w:tcPr>
            <w:tcW w:type="dxa" w:w="4680"/>
          </w:tcPr>
          <w:p>
            <w:r>
              <w:t>approx. 6,349, of whom around 5,810 are specialists</w:t>
            </w:r>
          </w:p>
        </w:tc>
      </w:tr>
      <w:tr>
        <w:tc>
          <w:tcPr>
            <w:tcW w:type="dxa" w:w="4680"/>
          </w:tcPr>
          <w:p>
            <w:r>
              <w:t>Vocational registration processing</w:t>
            </w:r>
          </w:p>
        </w:tc>
        <w:tc>
          <w:tcPr>
            <w:tcW w:type="dxa" w:w="4680"/>
          </w:tcPr>
          <w:p>
            <w:r>
              <w:t>approx. 10 working days for a complete application</w:t>
            </w:r>
          </w:p>
        </w:tc>
      </w:tr>
    </w:tbl>
    <w:p/>
    <w:p>
      <w:pPr>
        <w:spacing w:after="240"/>
      </w:pPr>
      <w:r>
        <w:t>Two points on how placement works. First, your step on the scale is generally determined by when you received specialist registration and the years worked since — so bring documentation of your registration date, not just your qualification date. Second, actual remuneration is agreed at offer stage to reflect experience, specialty and roster pattern, so the MECA sets the framework rather than a fixed number. ASMS represents around 5,500 senior doctors and negotiates the agreement collectively, which means pay movements happen nationally rather than employer by employer.</w:t>
      </w:r>
    </w:p>
    <w:p>
      <w:pPr>
        <w:pStyle w:val="Heading2"/>
      </w:pPr>
      <w:r>
        <w:t>What to Expect From the Work</w:t>
      </w:r>
    </w:p>
    <w:p>
      <w:pPr>
        <w:spacing w:after="160"/>
      </w:pPr>
      <w:r>
        <w:t>A small workforce cuts both ways, and it is worth being clear-eyed. In a country with a few hundred pathologists, you will likely carry broader responsibility than in a large subspecialised department — more general reporting, more multidisciplinary meeting participation, more direct clinical contact. Regional centres in particular offer scope and autonomy early. For pathologists who want to be a generalist expert rather than a narrow subspecialist, that is a feature. For those seeking a high-volume single-organ practice, a larger system may suit better.</w:t>
      </w:r>
    </w:p>
    <w:p>
      <w:pPr>
        <w:spacing w:after="240"/>
      </w:pPr>
      <w:r>
        <w:t>Practising also requires a current Annual Practising Certificate alongside your registration — an ongoing obligation, not a one-off step.</w:t>
      </w:r>
    </w:p>
    <w:p>
      <w:pPr>
        <w:pStyle w:val="Heading2"/>
      </w:pPr>
      <w:r>
        <w:t>Your Next Steps</w:t>
      </w:r>
    </w:p>
    <w:p>
      <w:pPr>
        <w:pStyle w:val="ListNumber"/>
        <w:spacing w:after="120"/>
      </w:pPr>
      <w:r>
        <w:rPr>
          <w:b/>
        </w:rPr>
        <w:t xml:space="preserve">Run the MCNZ self-assessment tool first: </w:t>
      </w:r>
      <w:r>
        <w:t>It identifies which of the four VOC pathways applies to you. This single step prevents the most common and most costly application error.</w:t>
      </w:r>
    </w:p>
    <w:p>
      <w:pPr>
        <w:pStyle w:val="ListNumber"/>
        <w:spacing w:after="120"/>
      </w:pPr>
      <w:r>
        <w:rPr>
          <w:b/>
        </w:rPr>
        <w:t xml:space="preserve">Check VOC4 eligibility before assuming VOC3: </w:t>
      </w:r>
      <w:r>
        <w:t>If you hold an approved UK, Irish or Australian postgraduate qualification, the fast-track exists precisely for you.</w:t>
      </w:r>
    </w:p>
    <w:p>
      <w:pPr>
        <w:pStyle w:val="ListNumber"/>
        <w:spacing w:after="120"/>
      </w:pPr>
      <w:r>
        <w:rPr>
          <w:b/>
        </w:rPr>
        <w:t xml:space="preserve">Apply through Health New Zealand's international stream: </w:t>
      </w:r>
      <w:r>
        <w:t>Te Whatu Ora runs a dedicated pathway for overseas-trained pathologists — start there rather than through general job boards.</w:t>
      </w:r>
    </w:p>
    <w:p>
      <w:pPr>
        <w:pStyle w:val="ListNumber"/>
        <w:spacing w:after="120"/>
      </w:pPr>
      <w:r>
        <w:rPr>
          <w:b/>
        </w:rPr>
        <w:t xml:space="preserve">Gather your specialist registration date evidence: </w:t>
      </w:r>
      <w:r>
        <w:t>Your MECA step placement depends on when you gained specialist registration and the years worked since, so document this precisely.</w:t>
      </w:r>
    </w:p>
    <w:p>
      <w:pPr>
        <w:pStyle w:val="ListNumber"/>
        <w:spacing w:after="120"/>
      </w:pPr>
      <w:r>
        <w:rPr>
          <w:b/>
        </w:rPr>
        <w:t xml:space="preserve">Prepare two referee reports: </w:t>
      </w:r>
      <w:r>
        <w:t>If you have worked overseas immediately before applying for vocational registration, MCNZ requires them.</w:t>
      </w:r>
    </w:p>
    <w:p>
      <w:pPr>
        <w:pStyle w:val="ListNumber"/>
        <w:spacing w:after="120"/>
      </w:pPr>
      <w:r>
        <w:rPr>
          <w:b/>
        </w:rPr>
        <w:t xml:space="preserve">Plan for the supervised period if entering via VOC3: </w:t>
      </w:r>
      <w:r>
        <w:t>Expect 12–18 months of supervised practice before full vocational scope, and possibly a one-day Vocational Practice Assessment.</w:t>
      </w:r>
    </w:p>
    <w:p>
      <w:pPr>
        <w:pStyle w:val="ListNumber"/>
        <w:spacing w:after="120"/>
      </w:pPr>
      <w:r>
        <w:rPr>
          <w:b/>
        </w:rPr>
        <w:t xml:space="preserve">Enrol in a recertification programme: </w:t>
      </w:r>
      <w:r>
        <w:t>MCNZ-accredited CPD is a condition of holding vocational registration, so build it into your first year rather than treating it as an afterthought.</w:t>
      </w:r>
    </w:p>
    <w:p/>
    <w:p>
      <w:pPr>
        <w:pStyle w:val="Heading2"/>
      </w:pPr>
      <w:r>
        <w:t>The Bottom Line</w:t>
      </w:r>
    </w:p>
    <w:p>
      <w:pPr>
        <w:spacing w:after="240"/>
      </w:pPr>
      <w:r>
        <w:t>New Zealand will not offer you the highest salary in this comparison, and it will not offer you a large subspecialised department to disappear into. What it offers is a transparent national pay agreement, a qualification framework shared with Australia, a registration process measured in working days rather than years, three months of paid sabbatical every six years, and a health system that has publicly opened a recruitment channel specifically for pathologists trained overseas.</w:t>
      </w:r>
    </w:p>
    <w:p>
      <w:r>
        <w:rPr>
          <w:i/>
        </w:rPr>
        <w:t>In a workforce of a few hundred, you are not a number on a roster. Start with the MCNZ self-assessment tool — it takes minutes and tells you exactly which door is yours.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New Zealand: Career Guide, MCNZ Vocational Registration &amp; SMO Salaries</w:t>
      </w:r>
    </w:p>
    <w:p>
      <w:pPr>
        <w:spacing w:after="240"/>
      </w:pPr>
      <w:r>
        <w:rPr>
          <w:b/>
        </w:rPr>
        <w:t xml:space="preserve">Meta Description: </w:t>
      </w:r>
      <w:r>
        <w:t>Complete guide to working as a pathologist in New Zealand: MCNZ vocational registration and the VOC1–VOC4 pathways, FRCPA requirements, VOC3 assessment for overseas specialists, and ASMS salaries of NZD $170,000–$250,000+.</w:t>
      </w:r>
    </w:p>
    <w:p>
      <w:pPr>
        <w:pStyle w:val="Heading3"/>
      </w:pPr>
      <w:r>
        <w:t>Primary Keywords</w:t>
      </w:r>
    </w:p>
    <w:p>
      <w:pPr>
        <w:pStyle w:val="ListBullet"/>
      </w:pPr>
      <w:r>
        <w:t>pathologist jobs New Zealand</w:t>
      </w:r>
    </w:p>
    <w:p>
      <w:pPr>
        <w:pStyle w:val="ListBullet"/>
      </w:pPr>
      <w:r>
        <w:t>MCNZ vocational registration pathology</w:t>
      </w:r>
    </w:p>
    <w:p>
      <w:pPr>
        <w:pStyle w:val="ListBullet"/>
      </w:pPr>
      <w:r>
        <w:t>pathologist salary New Zealand</w:t>
      </w:r>
    </w:p>
    <w:p>
      <w:pPr>
        <w:pStyle w:val="ListBullet"/>
      </w:pPr>
      <w:r>
        <w:t>FRCPA New Zealand registration</w:t>
      </w:r>
    </w:p>
    <w:p>
      <w:pPr>
        <w:pStyle w:val="ListBullet"/>
      </w:pPr>
      <w:r>
        <w:t>senior medical officer pathology NZ</w:t>
      </w:r>
    </w:p>
    <w:p/>
    <w:p>
      <w:pPr>
        <w:pStyle w:val="Heading3"/>
      </w:pPr>
      <w:r>
        <w:t>Long-Tail Keywords</w:t>
      </w:r>
    </w:p>
    <w:p>
      <w:pPr>
        <w:pStyle w:val="ListBullet"/>
      </w:pPr>
      <w:r>
        <w:t>VOC3 provisional vocational registration specialist</w:t>
      </w:r>
    </w:p>
    <w:p>
      <w:pPr>
        <w:pStyle w:val="ListBullet"/>
      </w:pPr>
      <w:r>
        <w:t>VOC4 fast track pathway UK Ireland Australia</w:t>
      </w:r>
    </w:p>
    <w:p>
      <w:pPr>
        <w:pStyle w:val="ListBullet"/>
      </w:pPr>
      <w:r>
        <w:t>vocational practice assessment MCNZ</w:t>
      </w:r>
    </w:p>
    <w:p>
      <w:pPr>
        <w:pStyle w:val="ListBullet"/>
      </w:pPr>
      <w:r>
        <w:t>ASMS MECA senior medical officer salary</w:t>
      </w:r>
    </w:p>
    <w:p>
      <w:pPr>
        <w:pStyle w:val="ListBullet"/>
      </w:pPr>
      <w:r>
        <w:t>overseas trained pathologist New Zealand registration</w:t>
      </w:r>
    </w:p>
    <w:p>
      <w:pPr>
        <w:pStyle w:val="ListBullet"/>
      </w:pPr>
      <w:r>
        <w:t>Te Whatu Ora pathologist recruitment international</w:t>
      </w:r>
    </w:p>
    <w:p>
      <w:pPr>
        <w:pStyle w:val="ListBullet"/>
      </w:pPr>
      <w:r>
        <w:t>annual practising certificate pathologist NZ</w:t>
      </w:r>
    </w:p>
    <w:p>
      <w:pPr>
        <w:pStyle w:val="ListBullet"/>
      </w:pPr>
      <w:r>
        <w:t>how many pathologists in New Zealand</w:t>
      </w:r>
    </w:p>
    <w:p>
      <w:pPr>
        <w:pStyle w:val="ListBullet"/>
      </w:pPr>
      <w:r>
        <w:t>MCNZ registration self assessment tool</w:t>
      </w:r>
    </w:p>
    <w:p>
      <w:pPr>
        <w:pStyle w:val="ListBullet"/>
      </w:pPr>
      <w:r>
        <w:t>sabbatical leave senior medical officer New Zealand</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2.9%</w:t>
            </w:r>
          </w:p>
        </w:tc>
        <w:tc>
          <w:tcPr>
            <w:tcW w:type="dxa" w:w="3120"/>
          </w:tcPr>
          <w:p>
            <w:r>
              <w:t>Natural, well-distributed</w:t>
            </w:r>
          </w:p>
        </w:tc>
      </w:tr>
      <w:tr>
        <w:tc>
          <w:tcPr>
            <w:tcW w:type="dxa" w:w="3120"/>
          </w:tcPr>
          <w:p>
            <w:r>
              <w:t>New Zealand / NZ / Aotearoa</w:t>
            </w:r>
          </w:p>
        </w:tc>
        <w:tc>
          <w:tcPr>
            <w:tcW w:type="dxa" w:w="3120"/>
          </w:tcPr>
          <w:p>
            <w:r>
              <w:t>2.4%</w:t>
            </w:r>
          </w:p>
        </w:tc>
        <w:tc>
          <w:tcPr>
            <w:tcW w:type="dxa" w:w="3120"/>
          </w:tcPr>
          <w:p>
            <w:r>
              <w:t>Strong geographic signal</w:t>
            </w:r>
          </w:p>
        </w:tc>
      </w:tr>
      <w:tr>
        <w:tc>
          <w:tcPr>
            <w:tcW w:type="dxa" w:w="3120"/>
          </w:tcPr>
          <w:p>
            <w:r>
              <w:t>Registration / Vocational</w:t>
            </w:r>
          </w:p>
        </w:tc>
        <w:tc>
          <w:tcPr>
            <w:tcW w:type="dxa" w:w="3120"/>
          </w:tcPr>
          <w:p>
            <w:r>
              <w:t>2.5%</w:t>
            </w:r>
          </w:p>
        </w:tc>
        <w:tc>
          <w:tcPr>
            <w:tcW w:type="dxa" w:w="3120"/>
          </w:tcPr>
          <w:p>
            <w:r>
              <w:t>Core regulatory intent term</w:t>
            </w:r>
          </w:p>
        </w:tc>
      </w:tr>
      <w:tr>
        <w:tc>
          <w:tcPr>
            <w:tcW w:type="dxa" w:w="3120"/>
          </w:tcPr>
          <w:p>
            <w:r>
              <w:t>MCNZ / FRCPA / ASMS</w:t>
            </w:r>
          </w:p>
        </w:tc>
        <w:tc>
          <w:tcPr>
            <w:tcW w:type="dxa" w:w="3120"/>
          </w:tcPr>
          <w:p>
            <w:r>
              <w:t>1.6%</w:t>
            </w:r>
          </w:p>
        </w:tc>
        <w:tc>
          <w:tcPr>
            <w:tcW w:type="dxa" w:w="3120"/>
          </w:tcPr>
          <w:p>
            <w:r>
              <w:t>High-intent authority acronyms</w:t>
            </w:r>
          </w:p>
        </w:tc>
      </w:tr>
      <w:tr>
        <w:tc>
          <w:tcPr>
            <w:tcW w:type="dxa" w:w="3120"/>
          </w:tcPr>
          <w:p>
            <w:r>
              <w:t>Specialist / Senior Medical Officer</w:t>
            </w:r>
          </w:p>
        </w:tc>
        <w:tc>
          <w:tcPr>
            <w:tcW w:type="dxa" w:w="3120"/>
          </w:tcPr>
          <w:p>
            <w:r>
              <w:t>1.4%</w:t>
            </w:r>
          </w:p>
        </w:tc>
        <w:tc>
          <w:tcPr>
            <w:tcW w:type="dxa" w:w="3120"/>
          </w:tcPr>
          <w:p>
            <w:r>
              <w:t>Job-title search term</w:t>
            </w:r>
          </w:p>
        </w:tc>
      </w:tr>
    </w:tbl>
    <w:p/>
    <w:p>
      <w:pPr>
        <w:pStyle w:val="Heading3"/>
      </w:pPr>
      <w:r>
        <w:t>Readability &amp; Structure</w:t>
      </w:r>
    </w:p>
    <w:p>
      <w:r>
        <w:rPr>
          <w:b/>
        </w:rPr>
        <w:t xml:space="preserve">Flesch-Kincaid Grade Level: </w:t>
      </w:r>
      <w:r>
        <w:t>11.3 (professional medical audience)</w:t>
      </w:r>
    </w:p>
    <w:p>
      <w:r>
        <w:rPr>
          <w:b/>
        </w:rPr>
        <w:t xml:space="preserve">Flesch Reading Ease: </w:t>
      </w:r>
      <w:r>
        <w:t>51/100 (appropriate for specialist content)</w:t>
      </w:r>
    </w:p>
    <w:p>
      <w:r>
        <w:rPr>
          <w:b/>
        </w:rPr>
        <w:t xml:space="preserve">Word Count: </w:t>
      </w:r>
      <w:r>
        <w:t>~1,190 words (optimal SEO range)</w:t>
      </w:r>
    </w:p>
    <w:p>
      <w:r>
        <w:rPr>
          <w:b/>
        </w:rPr>
        <w:t xml:space="preserve">Heading Structure: </w:t>
      </w:r>
      <w:r>
        <w:t>H1 → H2 → H3 hierarchy, featured-snippet friendly</w:t>
      </w:r>
    </w:p>
    <w:p>
      <w:r>
        <w:rPr>
          <w:b/>
        </w:rPr>
        <w:t xml:space="preserve">Snippet Opportunity: </w:t>
      </w:r>
      <w:r>
        <w:t>The four VOC pathways section is strong featured-snippet bait for 'VOC1 VOC2 VOC3 VOC4 difference' queries</w:t>
      </w:r>
    </w:p>
    <w:p/>
    <w:p>
      <w:pPr>
        <w:pStyle w:val="Heading3"/>
      </w:pPr>
      <w:r>
        <w:t>Suggested External Authority Links</w:t>
      </w:r>
    </w:p>
    <w:p>
      <w:pPr>
        <w:pStyle w:val="ListBullet"/>
      </w:pPr>
      <w:r>
        <w:rPr>
          <w:b/>
        </w:rPr>
        <w:t xml:space="preserve">Medical Council of New Zealand – Pathology scope — </w:t>
      </w:r>
      <w:r>
        <w:t>https://www.mcnz.org.nz/registration/scopes-of-practice/vocational-and-provisional-vocational/types-of-vocational-scope/pathology/</w:t>
      </w:r>
    </w:p>
    <w:p>
      <w:pPr>
        <w:pStyle w:val="ListBullet"/>
      </w:pPr>
      <w:r>
        <w:rPr>
          <w:b/>
        </w:rPr>
        <w:t xml:space="preserve">MCNZ – Registration pathways — </w:t>
      </w:r>
      <w:r>
        <w:t>https://www.mcnz.org.nz/registration/getting-registered/registration-pathways/</w:t>
      </w:r>
    </w:p>
    <w:p>
      <w:pPr>
        <w:pStyle w:val="ListBullet"/>
      </w:pPr>
      <w:r>
        <w:rPr>
          <w:b/>
        </w:rPr>
        <w:t xml:space="preserve">Royal College of Pathologists of Australasia — </w:t>
      </w:r>
      <w:r>
        <w:t>https://www.rcpa.edu.au</w:t>
      </w:r>
    </w:p>
    <w:p>
      <w:pPr>
        <w:pStyle w:val="ListBullet"/>
      </w:pPr>
      <w:r>
        <w:rPr>
          <w:b/>
        </w:rPr>
        <w:t xml:space="preserve">Health New Zealand – Senior Medical Officers — </w:t>
      </w:r>
      <w:r>
        <w:t>https://www.healthnz.govt.nz/careers/roles/clinical/senior-medical-officers</w:t>
      </w:r>
    </w:p>
    <w:p>
      <w:pPr>
        <w:pStyle w:val="ListBullet"/>
      </w:pPr>
      <w:r>
        <w:rPr>
          <w:b/>
        </w:rPr>
        <w:t xml:space="preserve">Association of Salaried Medical Specialists — </w:t>
      </w:r>
      <w:r>
        <w:t>https://asms.org.nz</w:t>
      </w:r>
    </w:p>
    <w:p>
      <w:pPr>
        <w:pStyle w:val="ListBullet"/>
      </w:pPr>
      <w:r>
        <w:rPr>
          <w:b/>
        </w:rPr>
        <w:t xml:space="preserve">Careers.govt.nz – Pathologist — </w:t>
      </w:r>
      <w:r>
        <w:t>https://www.careers.govt.nz/jobs-database/health-and-community/health/pathologist/about-the-job</w:t>
      </w:r>
    </w:p>
    <w:p/>
    <w:p>
      <w:pPr>
        <w:pStyle w:val="Heading3"/>
      </w:pPr>
      <w:r>
        <w:t>Image Alt Text Suggestions</w:t>
      </w:r>
    </w:p>
    <w:p>
      <w:pPr>
        <w:pStyle w:val="ListBullet"/>
      </w:pPr>
      <w:r>
        <w:t>"Pathologist reporting surgical specimens in a New Zealand hospital laboratory"</w:t>
      </w:r>
    </w:p>
    <w:p>
      <w:pPr>
        <w:pStyle w:val="ListBullet"/>
      </w:pPr>
      <w:r>
        <w:t>"Diagram comparing the VOC1, VOC2, VOC3 and VOC4 registration pathways in New Zealand"</w:t>
      </w:r>
    </w:p>
    <w:p>
      <w:pPr>
        <w:pStyle w:val="ListBullet"/>
      </w:pPr>
      <w:r>
        <w:t>"Map of New Zealand showing Te Whatu Ora districts and regional pathology services"</w:t>
      </w:r>
    </w:p>
    <w:p>
      <w:pPr>
        <w:pStyle w:val="ListBullet"/>
      </w:pPr>
      <w:r>
        <w:t>"Chart showing ASMS MECA senior medical officer salary progression steps"</w:t>
      </w:r>
    </w:p>
    <w:p/>
    <w:p>
      <w:pPr>
        <w:pStyle w:val="Heading3"/>
      </w:pPr>
      <w:r>
        <w:t>Web Conversion CTAs</w:t>
      </w:r>
    </w:p>
    <w:p>
      <w:r>
        <w:rPr>
          <w:b/>
        </w:rPr>
        <w:t xml:space="preserve">CTA 1 (Action): </w:t>
      </w:r>
      <w:r>
        <w:t>Run the MCNZ registration self-assessment tool — it identifies your correct VOC pathway in minutes and prevents the most common application error.</w:t>
      </w:r>
    </w:p>
    <w:p>
      <w:r>
        <w:rPr>
          <w:b/>
        </w:rPr>
        <w:t xml:space="preserve">CTA 2 (Fast-track): </w:t>
      </w:r>
      <w:r>
        <w:t>Hold a UK, Irish or Australian postgraduate qualification? Check your eligibility for the VOC4 fast-track before applying via any other route.</w:t>
      </w:r>
    </w:p>
    <w:p>
      <w:r>
        <w:rPr>
          <w:b/>
        </w:rPr>
        <w:t xml:space="preserve">CTA 3 (Jobs): </w:t>
      </w:r>
      <w:r>
        <w:t>Health New Zealand runs a dedicated recruitment stream for internationally trained pathologists. Explore current vacancies across the motu.</w:t>
      </w:r>
    </w:p>
    <w:p>
      <w:r>
        <w:rPr>
          <w:b/>
        </w:rPr>
        <w:t xml:space="preserve">CTA 4 (Comparison): </w:t>
      </w:r>
      <w:r>
        <w:t>Weighing New Zealand against Australia? FRCPA works in both — explore how the trans-Tasman qualification affects your options.</w:t>
      </w:r>
    </w:p>
    <w:p/>
    <w:p>
      <w:pPr>
        <w:pStyle w:val="Heading3"/>
      </w:pPr>
      <w:r>
        <w:t>Publication &amp; Distribution Notes</w:t>
      </w:r>
    </w:p>
    <w:p>
      <w:r>
        <w:rPr>
          <w:b/>
        </w:rPr>
        <w:t xml:space="preserve">Platform Recommendations: </w:t>
      </w:r>
      <w:r>
        <w:t>Blog/website primary (SEO), LinkedIn article mirror, Medium republication, Australasian and IMG-focused medical recruitment portals</w:t>
      </w:r>
    </w:p>
    <w:p>
      <w:r>
        <w:rPr>
          <w:b/>
        </w:rPr>
        <w:t xml:space="preserve">LinkedIn Hashtags: </w:t>
      </w:r>
      <w:r>
        <w:t>#PathologyCareers #NewZealand #MCNZ #FRCPA #TeWhatuOra #IMG #MedicalCareers #SeniorMedicalOfficer #Pathologist #ASMS</w:t>
      </w:r>
    </w:p>
    <w:p>
      <w:r>
        <w:rPr>
          <w:b/>
        </w:rPr>
        <w:t xml:space="preserve">Optimal Publishing Time: </w:t>
      </w:r>
      <w:r>
        <w:t>Tuesday–Thursday, 8 AM–12 PM NZST</w:t>
      </w:r>
    </w:p>
    <w:p>
      <w:r>
        <w:rPr>
          <w:b/>
        </w:rPr>
        <w:t xml:space="preserve">Content Refresh Cycle: </w:t>
      </w:r>
      <w:r>
        <w:t>Update alongside ASMS MECA negotiation outcomes and MCNZ pathway revisions; workforce census figures update infrequently but should be checked annually</w:t>
      </w:r>
    </w:p>
    <w:p>
      <w:r>
        <w:rPr>
          <w:b/>
        </w:rPr>
        <w:t xml:space="preserve">Cross-Link Opportunity: </w:t>
      </w:r>
      <w:r>
        <w:t>Pairs naturally with the Australia guide — FRCPA covers both jurisdictions, and readers researching one commonly research the other</w:t>
      </w:r>
    </w:p>
    <w:p>
      <w:r>
        <w:rPr>
          <w:b/>
        </w:rPr>
        <w:t xml:space="preserve">A/B Test Headlines: </w:t>
      </w:r>
      <w:r>
        <w:t>'Pathology in New Zealand: Your Complete Career Guide' vs. 'New Zealand Has Around 327 Pathologists — And It Is Recruiting Overseas'</w:t>
      </w:r>
    </w:p>
    <w:p/>
    <w:p>
      <w:r>
        <w:rPr>
          <w:i/>
        </w:rPr>
        <w:t xml:space="preserve">Document Generated: </w:t>
      </w:r>
      <w:r>
        <w:t>July 31, 2026</w:t>
      </w:r>
    </w:p>
    <w:p>
      <w:r>
        <w:rPr>
          <w:i/>
        </w:rPr>
        <w:t xml:space="preserve">SEO Status: </w:t>
      </w:r>
      <w:r>
        <w:t>Ready for publication — verify current ASMS MECA rates, MCNZ pathway criteria and workforce figures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